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(2023)嵩狱减字第289号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罪犯曹定洪，男，1977年3月11日出生，汉族，云南省广南县人，小学教育，现在云南省嵩明监狱服刑。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玉溪市中级人民法院于2014年01月07日作出(2013)玉中刑初字第121号刑事判决，以被告人曹定洪犯走私、运输毒品罪，判处死刑，缓期二年执行，剥夺政治权利终身，并处没收个人全部财产。并依法报请云南省高级人民法院核准，云南省高级人民法院于2014年07月02日作出(2014)云高刑复字第118号刑事裁定，核准原判。判决发生法律效力后，于2014年08月21日交付监狱执行刑罚。执行期间，于2016年12月20日经云南省高级人民法院以(2016)云刑更3812号裁定，裁定减为无期徒刑，剥夺政治权利终身不变；于2020年09月02日经云南省高级人民法院以(2020)云刑更1396号裁定，裁定减为有期徒刑二十五年，剥夺政治权利改为十年。现刑期自2020年9月2日至2045年9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04月至2022年11月获记表扬6次，另查明，该犯系累犯，确有履行能力而不履行或不全部履行生效裁判中财产性判项的罪犯；未履行财产性判项；期内月均消费245.57元，账户余额1202.83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为此，根据《中华人民共和国刑法》第七十八条第一款、第七十九条、《中华人民共和国刑事诉讼法》第二百七十三条第二款、《中华人民共和国监狱法》第二十九条、第三十条之规定，建议对罪犯曹定洪予以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