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(2023)嵩狱减字第303号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罪犯李海江，男，1991年6月26日出生，苗族，云南省河口瑶族自治县人，小学教育，现在云南省嵩明监狱服刑。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中级人民法院于2017年04月16日作出(2015)昆刑三初字第539号刑事判决，以被告人李海江犯贩卖、运输毒品罪，判处无期徒刑，剥夺政治权利终身，并处没收个人全部财产。宣判后，同案犯不服，提出上诉。云南省高级人民法院于2017年12月15日作出(2017)云刑终1300号刑事裁定，驳回上诉，维持原判。判决发生法律效力后，于2018年06月14日交付监狱执行刑罚。执行期间，于2020年11月10日经云南省高级人民法院以(2020)云刑更1679号裁定，裁定减为有期徒刑二十二年，剥夺政治权利改为十年。现刑期自2020年11月10日至2042年11月9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07月至2022年09月获记表扬5次，另查明，该犯系确有履行能力而不履行或不全部履行生效裁判中财产性判项的罪犯；未履行财产性判项；期内月均消费205.74元，账户余额3851.79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为此，根据《中华人民共和国刑法》第七十八条第一款、第七十九条、《中华人民共和国刑事诉讼法》第二百七十三条第二款、《中华人民共和国监狱法》第二十九条、第三十条之规定，建议对罪犯李海江予以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